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widowControl/>
        <w:spacing w:before="75" w:after="75" w:line="420" w:lineRule="exact"/>
        <w:jc w:val="center"/>
        <w:rPr>
          <w:rStyle w:val="12"/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Style w:val="12"/>
          <w:rFonts w:hint="eastAsia" w:ascii="宋体" w:hAnsi="宋体" w:cs="宋体"/>
          <w:color w:val="auto"/>
          <w:sz w:val="32"/>
          <w:szCs w:val="32"/>
          <w:highlight w:val="none"/>
          <w:lang w:eastAsia="zh-CN"/>
        </w:rPr>
        <w:t>福建省申富项目管理有限公司</w:t>
      </w:r>
      <w:r>
        <w:rPr>
          <w:rStyle w:val="12"/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安溪县官桥镇人民政府巡逻车采购及服务项目询价公告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福建省申富项目管理有限公司</w:t>
      </w:r>
      <w:r>
        <w:rPr>
          <w:rFonts w:hint="eastAsia" w:ascii="宋体" w:hAnsi="宋体"/>
          <w:szCs w:val="21"/>
        </w:rPr>
        <w:t>受</w:t>
      </w:r>
      <w:r>
        <w:rPr>
          <w:rFonts w:hint="eastAsia" w:ascii="宋体" w:hAnsi="宋体"/>
          <w:szCs w:val="21"/>
          <w:u w:val="single"/>
        </w:rPr>
        <w:t>安溪县官桥镇人民政府</w:t>
      </w:r>
      <w:r>
        <w:rPr>
          <w:rFonts w:hint="eastAsia" w:ascii="宋体" w:hAnsi="宋体"/>
          <w:szCs w:val="21"/>
        </w:rPr>
        <w:t>委托，对</w:t>
      </w:r>
      <w:r>
        <w:rPr>
          <w:rFonts w:hint="eastAsia" w:ascii="宋体" w:hAnsi="宋体"/>
          <w:szCs w:val="21"/>
          <w:u w:val="single"/>
          <w:lang w:eastAsia="zh-CN"/>
        </w:rPr>
        <w:t>巡逻车采购及服务</w:t>
      </w:r>
      <w:r>
        <w:rPr>
          <w:rFonts w:hint="eastAsia" w:ascii="宋体" w:hAnsi="宋体"/>
          <w:szCs w:val="21"/>
        </w:rPr>
        <w:t>项目的下述货物进行国内</w:t>
      </w:r>
      <w:r>
        <w:rPr>
          <w:rFonts w:hint="eastAsia" w:ascii="宋体" w:hAnsi="宋体"/>
          <w:szCs w:val="21"/>
          <w:u w:val="single"/>
        </w:rPr>
        <w:t>询价采购</w:t>
      </w:r>
      <w:r>
        <w:rPr>
          <w:rFonts w:hint="eastAsia" w:ascii="宋体" w:hAnsi="宋体"/>
          <w:szCs w:val="21"/>
        </w:rPr>
        <w:t>，现欢</w:t>
      </w:r>
      <w:r>
        <w:rPr>
          <w:rFonts w:hint="eastAsia" w:ascii="宋体" w:hAnsi="宋体"/>
          <w:color w:val="auto"/>
          <w:szCs w:val="21"/>
        </w:rPr>
        <w:t>迎受邀的供应商</w:t>
      </w:r>
      <w:r>
        <w:rPr>
          <w:rFonts w:hint="eastAsia" w:ascii="宋体" w:hAnsi="宋体"/>
          <w:szCs w:val="21"/>
        </w:rPr>
        <w:t>前来提交密封的响应文件。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1、项目编号：</w:t>
      </w:r>
      <w:bookmarkStart w:id="15" w:name="_GoBack"/>
      <w:r>
        <w:rPr>
          <w:rFonts w:hint="eastAsia" w:ascii="宋体" w:hAnsi="宋体"/>
          <w:szCs w:val="21"/>
          <w:lang w:eastAsia="zh-CN"/>
        </w:rPr>
        <w:t>FJSFAX2022040</w:t>
      </w:r>
      <w:bookmarkEnd w:id="15"/>
      <w:r>
        <w:rPr>
          <w:rFonts w:hint="eastAsia" w:ascii="宋体" w:hAnsi="宋体"/>
          <w:szCs w:val="21"/>
        </w:rPr>
        <w:t xml:space="preserve"> </w:t>
      </w:r>
    </w:p>
    <w:p>
      <w:pPr>
        <w:adjustRightInd w:val="0"/>
        <w:snapToGrid w:val="0"/>
        <w:spacing w:line="400" w:lineRule="exact"/>
        <w:ind w:firstLine="45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pacing w:val="-14"/>
          <w:szCs w:val="21"/>
        </w:rPr>
        <w:t>2、询价货物名称、数量及主要技术规格：见后</w:t>
      </w:r>
      <w:r>
        <w:rPr>
          <w:rFonts w:hint="eastAsia" w:ascii="宋体" w:hAnsi="宋体"/>
          <w:szCs w:val="21"/>
        </w:rPr>
        <w:t>附：询价货物一览表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3、资格要求：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①满足《政府采购法》第二十二条规定；</w:t>
      </w:r>
    </w:p>
    <w:p>
      <w:pPr>
        <w:pStyle w:val="19"/>
        <w:adjustRightInd w:val="0"/>
        <w:snapToGrid w:val="0"/>
        <w:spacing w:line="40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②本项目的特定资格要求：无。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4、询价通知书购买时间：</w:t>
      </w:r>
      <w:r>
        <w:rPr>
          <w:rFonts w:hint="eastAsia" w:ascii="宋体" w:hAnsi="宋体"/>
          <w:szCs w:val="21"/>
          <w:u w:val="single"/>
          <w:lang w:val="en-US" w:eastAsia="zh-CN"/>
        </w:rPr>
        <w:t>[</w:t>
      </w:r>
      <w:r>
        <w:rPr>
          <w:rFonts w:hint="eastAsia" w:ascii="宋体" w:hAnsi="宋体"/>
          <w:szCs w:val="21"/>
          <w:u w:val="single"/>
        </w:rPr>
        <w:t xml:space="preserve">2022年 </w:t>
      </w:r>
      <w:r>
        <w:rPr>
          <w:rFonts w:hint="eastAsia" w:ascii="宋体" w:hAnsi="宋体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Cs w:val="21"/>
          <w:u w:val="single"/>
        </w:rPr>
        <w:t xml:space="preserve">月 </w:t>
      </w:r>
      <w:r>
        <w:rPr>
          <w:rFonts w:hint="eastAsia" w:ascii="宋体" w:hAnsi="宋体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szCs w:val="21"/>
          <w:u w:val="single"/>
        </w:rPr>
        <w:t xml:space="preserve"> 日］至［2022年</w:t>
      </w:r>
      <w:r>
        <w:rPr>
          <w:rFonts w:hint="eastAsia" w:ascii="宋体" w:hAnsi="宋体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szCs w:val="21"/>
          <w:u w:val="single"/>
        </w:rPr>
        <w:t xml:space="preserve"> 月 </w:t>
      </w:r>
      <w:r>
        <w:rPr>
          <w:rFonts w:hint="eastAsia" w:ascii="宋体" w:hAnsi="宋体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szCs w:val="21"/>
          <w:u w:val="single"/>
        </w:rPr>
        <w:t xml:space="preserve"> 日</w:t>
      </w:r>
      <w:r>
        <w:rPr>
          <w:rFonts w:hint="eastAsia" w:ascii="宋体" w:hAnsi="宋体"/>
          <w:szCs w:val="21"/>
          <w:u w:val="single"/>
          <w:lang w:val="en-US" w:eastAsia="zh-CN"/>
        </w:rPr>
        <w:t>]</w:t>
      </w:r>
      <w:r>
        <w:rPr>
          <w:rFonts w:hint="eastAsia" w:ascii="宋体" w:hAnsi="宋体"/>
          <w:szCs w:val="21"/>
        </w:rPr>
        <w:t>(公休、节假日除外)，每天8:00-12:00，14:30-17:30（北京时间）</w:t>
      </w:r>
    </w:p>
    <w:p>
      <w:pPr>
        <w:pStyle w:val="6"/>
        <w:adjustRightInd w:val="0"/>
        <w:snapToGrid w:val="0"/>
        <w:spacing w:line="400" w:lineRule="exact"/>
        <w:ind w:firstLine="42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5、询价通知书售价：纸质或电子版每包文件 300元，若邮寄，另加50元，询价通知书售出一概不退。</w:t>
      </w:r>
      <w:r>
        <w:rPr>
          <w:rFonts w:hint="eastAsia" w:hAnsi="宋体"/>
          <w:szCs w:val="21"/>
          <w:lang w:eastAsia="zh-CN"/>
        </w:rPr>
        <w:t>福建省申富项目管理有限公司</w:t>
      </w:r>
      <w:r>
        <w:rPr>
          <w:rFonts w:hint="eastAsia" w:hAnsi="宋体"/>
          <w:szCs w:val="21"/>
        </w:rPr>
        <w:t>不对邮寄过程中可能发生的延误或丢失负责。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6、响应文件递交截止时间及地点：响应文件应于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>[</w:t>
      </w:r>
      <w:r>
        <w:rPr>
          <w:rFonts w:hint="eastAsia" w:ascii="宋体" w:hAnsi="宋体"/>
          <w:b/>
          <w:szCs w:val="21"/>
          <w:u w:val="single"/>
        </w:rPr>
        <w:t>2022年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b/>
          <w:szCs w:val="21"/>
          <w:u w:val="single"/>
        </w:rPr>
        <w:t>月 2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b/>
          <w:szCs w:val="21"/>
          <w:u w:val="single"/>
        </w:rPr>
        <w:t xml:space="preserve"> 日15:30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]</w:t>
      </w:r>
      <w:r>
        <w:rPr>
          <w:rFonts w:hint="eastAsia" w:ascii="宋体" w:hAnsi="宋体"/>
          <w:szCs w:val="21"/>
        </w:rPr>
        <w:t>（北京时间）之前提交到</w:t>
      </w:r>
      <w:r>
        <w:rPr>
          <w:rFonts w:hint="eastAsia" w:ascii="宋体" w:hAnsi="宋体"/>
          <w:szCs w:val="21"/>
          <w:lang w:eastAsia="zh-CN"/>
        </w:rPr>
        <w:t>泉州经济技术开发区德泰路328号万兴大厦五楼501室</w:t>
      </w:r>
      <w:r>
        <w:rPr>
          <w:rFonts w:hint="eastAsia" w:ascii="宋体" w:hAnsi="宋体"/>
          <w:szCs w:val="21"/>
        </w:rPr>
        <w:t>，逾期收到的或不符合规定的响应文件将被拒绝。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7、开标时间：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[</w:t>
      </w:r>
      <w:r>
        <w:rPr>
          <w:rFonts w:hint="eastAsia" w:ascii="宋体" w:hAnsi="宋体"/>
          <w:b/>
          <w:bCs/>
          <w:szCs w:val="21"/>
          <w:u w:val="single"/>
        </w:rPr>
        <w:t>2</w:t>
      </w:r>
      <w:r>
        <w:rPr>
          <w:rFonts w:hint="eastAsia" w:ascii="宋体" w:hAnsi="宋体"/>
          <w:b/>
          <w:szCs w:val="21"/>
          <w:u w:val="single"/>
        </w:rPr>
        <w:t xml:space="preserve">022年 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b/>
          <w:szCs w:val="21"/>
          <w:u w:val="single"/>
        </w:rPr>
        <w:t xml:space="preserve"> 月 2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b/>
          <w:szCs w:val="21"/>
          <w:u w:val="single"/>
        </w:rPr>
        <w:t xml:space="preserve"> 日15:30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 xml:space="preserve"> ]</w:t>
      </w:r>
      <w:r>
        <w:rPr>
          <w:rFonts w:hint="eastAsia" w:ascii="宋体" w:hAnsi="宋体"/>
          <w:szCs w:val="21"/>
        </w:rPr>
        <w:t>（北京时间）</w:t>
      </w:r>
    </w:p>
    <w:p>
      <w:pPr>
        <w:adjustRightInd w:val="0"/>
        <w:snapToGrid w:val="0"/>
        <w:spacing w:line="400" w:lineRule="exact"/>
        <w:ind w:firstLine="735" w:firstLine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开标地点：</w:t>
      </w:r>
      <w:r>
        <w:rPr>
          <w:rFonts w:hint="eastAsia" w:ascii="宋体" w:hAnsi="宋体"/>
          <w:szCs w:val="21"/>
          <w:lang w:eastAsia="zh-CN"/>
        </w:rPr>
        <w:t>泉州经济技术开发区德泰路328号万兴大厦五楼501室</w:t>
      </w:r>
      <w:r>
        <w:rPr>
          <w:rFonts w:hint="eastAsia" w:ascii="宋体" w:hAnsi="宋体" w:eastAsia="宋体" w:cs="宋体"/>
          <w:color w:val="auto"/>
        </w:rPr>
        <w:t xml:space="preserve"> 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8、供应商对本次询价活动事项提出疑问的，请在公告期限之内</w:t>
      </w:r>
      <w:r>
        <w:rPr>
          <w:rFonts w:hint="eastAsia"/>
          <w:szCs w:val="21"/>
        </w:rPr>
        <w:t>将问题以书面形式提交到</w:t>
      </w:r>
      <w:r>
        <w:rPr>
          <w:rFonts w:hint="eastAsia"/>
          <w:szCs w:val="21"/>
          <w:lang w:eastAsia="zh-CN"/>
        </w:rPr>
        <w:t>福建省申富项目管理有限公司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9、以上如有变更，招标代理机构会通过中国政府采购网http://www.ccgp.gov.cn/上公布，不作另行通知，请各受邀供应商关注。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10、采购单位：安溪县官桥镇人民政府，     地址：泉州市安溪县官桥镇官桥村</w:t>
      </w:r>
    </w:p>
    <w:p>
      <w:pPr>
        <w:adjustRightInd w:val="0"/>
        <w:snapToGrid w:val="0"/>
        <w:spacing w:line="400" w:lineRule="exact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联系人：林先生，                     联系电话：13506939810 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11、招标代理机构：</w:t>
      </w:r>
      <w:r>
        <w:rPr>
          <w:rFonts w:hint="eastAsia" w:ascii="宋体" w:hAnsi="宋体"/>
          <w:szCs w:val="21"/>
          <w:lang w:eastAsia="zh-CN"/>
        </w:rPr>
        <w:t>福建省申富项目管理有限公司</w:t>
      </w:r>
    </w:p>
    <w:p>
      <w:pPr>
        <w:adjustRightInd w:val="0"/>
        <w:snapToGrid w:val="0"/>
        <w:spacing w:line="400" w:lineRule="exact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lang w:eastAsia="zh-CN"/>
        </w:rPr>
        <w:t>泉州经济技术开发区德泰路328号万兴大厦五楼501室</w:t>
      </w:r>
      <w:r>
        <w:rPr>
          <w:rFonts w:hint="eastAsia" w:ascii="宋体" w:hAnsi="宋体"/>
          <w:szCs w:val="21"/>
        </w:rPr>
        <w:t xml:space="preserve">    邮编：362000  </w:t>
      </w:r>
    </w:p>
    <w:p>
      <w:pPr>
        <w:spacing w:line="400" w:lineRule="exact"/>
        <w:ind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 系 人：</w:t>
      </w:r>
      <w:r>
        <w:rPr>
          <w:rStyle w:val="17"/>
          <w:rFonts w:hint="eastAsia" w:ascii="宋体" w:hAnsi="宋体" w:eastAsia="宋体" w:cs="宋体"/>
          <w:color w:val="auto"/>
        </w:rPr>
        <w:t>小陈</w:t>
      </w:r>
      <w:r>
        <w:rPr>
          <w:rFonts w:hint="eastAsia" w:ascii="宋体" w:hAnsi="宋体"/>
          <w:szCs w:val="21"/>
        </w:rPr>
        <w:t xml:space="preserve">    </w:t>
      </w:r>
      <w:bookmarkStart w:id="0" w:name="_Toc6455"/>
      <w:r>
        <w:rPr>
          <w:rFonts w:hint="eastAsia" w:ascii="宋体" w:hAnsi="宋体" w:eastAsia="宋体" w:cs="宋体"/>
          <w:color w:val="auto"/>
        </w:rPr>
        <w:t>联系方法：0595-22655097</w:t>
      </w:r>
      <w:bookmarkEnd w:id="0"/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电子信箱：</w:t>
      </w:r>
      <w:r>
        <w:rPr>
          <w:rFonts w:hint="eastAsia" w:ascii="宋体" w:hAnsi="宋体" w:eastAsia="宋体" w:cs="宋体"/>
          <w:color w:val="auto"/>
          <w:sz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</w:rPr>
        <w:instrText xml:space="preserve"> HYPERLINK "mailto:qzwscg@163.com" </w:instrText>
      </w:r>
      <w:r>
        <w:rPr>
          <w:rFonts w:hint="eastAsia" w:ascii="宋体" w:hAnsi="宋体" w:eastAsia="宋体" w:cs="宋体"/>
          <w:color w:val="auto"/>
          <w:sz w:val="24"/>
        </w:rPr>
        <w:fldChar w:fldCharType="separate"/>
      </w:r>
      <w:r>
        <w:rPr>
          <w:rStyle w:val="14"/>
          <w:rFonts w:hint="eastAsia" w:ascii="宋体" w:hAnsi="宋体" w:eastAsia="宋体" w:cs="宋体"/>
          <w:color w:val="auto"/>
          <w:sz w:val="24"/>
        </w:rPr>
        <w:t>fjsfxm@163.com</w:t>
      </w:r>
      <w:r>
        <w:rPr>
          <w:rFonts w:hint="eastAsia" w:ascii="宋体" w:hAnsi="宋体" w:eastAsia="宋体" w:cs="宋体"/>
          <w:color w:val="auto"/>
          <w:sz w:val="24"/>
        </w:rPr>
        <w:fldChar w:fldCharType="end"/>
      </w:r>
    </w:p>
    <w:p>
      <w:pPr>
        <w:adjustRightInd w:val="0"/>
        <w:snapToGrid w:val="0"/>
        <w:spacing w:line="400" w:lineRule="exact"/>
        <w:ind w:firstLine="840" w:firstLineChars="4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开户名：</w:t>
      </w:r>
      <w:r>
        <w:rPr>
          <w:rFonts w:hint="eastAsia" w:ascii="宋体" w:hAnsi="宋体"/>
          <w:szCs w:val="21"/>
          <w:lang w:eastAsia="zh-CN"/>
        </w:rPr>
        <w:t>福建省申富项目管理有限公司</w:t>
      </w:r>
    </w:p>
    <w:p>
      <w:pPr>
        <w:spacing w:line="276" w:lineRule="auto"/>
        <w:ind w:firstLine="840" w:firstLineChars="400"/>
        <w:outlineLvl w:val="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/>
          <w:szCs w:val="21"/>
        </w:rPr>
        <w:t>开户行：</w:t>
      </w:r>
      <w:r>
        <w:rPr>
          <w:rFonts w:hint="eastAsia" w:ascii="宋体" w:hAnsi="宋体" w:eastAsia="宋体" w:cs="宋体"/>
          <w:color w:val="auto"/>
          <w:sz w:val="24"/>
        </w:rPr>
        <w:t>中信银行股份有限公司泉州清濛支行</w:t>
      </w:r>
      <w:r>
        <w:rPr>
          <w:rFonts w:hint="eastAsia" w:ascii="宋体" w:hAnsi="宋体"/>
          <w:szCs w:val="21"/>
        </w:rPr>
        <w:t>，帐  号：</w:t>
      </w:r>
      <w:r>
        <w:rPr>
          <w:rFonts w:hint="eastAsia" w:ascii="宋体" w:hAnsi="宋体" w:eastAsia="宋体" w:cs="宋体"/>
          <w:color w:val="auto"/>
          <w:sz w:val="24"/>
        </w:rPr>
        <w:t>8111301010900489922</w:t>
      </w:r>
    </w:p>
    <w:p>
      <w:pPr>
        <w:pStyle w:val="2"/>
        <w:rPr>
          <w:rFonts w:hint="eastAsia"/>
        </w:rPr>
      </w:pPr>
    </w:p>
    <w:p>
      <w:pPr>
        <w:pStyle w:val="20"/>
        <w:spacing w:line="400" w:lineRule="exact"/>
        <w:jc w:val="right"/>
        <w:rPr>
          <w:rFonts w:hint="eastAsia" w:hAnsi="宋体" w:eastAsia="宋体"/>
          <w:color w:val="auto"/>
          <w:sz w:val="21"/>
          <w:szCs w:val="21"/>
          <w:lang w:eastAsia="zh-CN"/>
        </w:rPr>
      </w:pPr>
      <w:r>
        <w:rPr>
          <w:rFonts w:hint="eastAsia" w:hAnsi="宋体"/>
          <w:color w:val="auto"/>
          <w:sz w:val="21"/>
          <w:szCs w:val="21"/>
          <w:lang w:eastAsia="zh-CN"/>
        </w:rPr>
        <w:t>福建省申富项目管理有限公司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hAnsi="宋体"/>
          <w:szCs w:val="21"/>
        </w:rPr>
        <w:t xml:space="preserve">                                                           2022年 </w:t>
      </w:r>
      <w:r>
        <w:rPr>
          <w:rFonts w:hint="eastAsia" w:hAnsi="宋体"/>
          <w:szCs w:val="21"/>
          <w:lang w:val="en-US" w:eastAsia="zh-CN"/>
        </w:rPr>
        <w:t>6</w:t>
      </w:r>
      <w:r>
        <w:rPr>
          <w:rFonts w:hint="eastAsia" w:hAnsi="宋体"/>
          <w:szCs w:val="21"/>
        </w:rPr>
        <w:t xml:space="preserve"> 月 </w:t>
      </w:r>
      <w:r>
        <w:rPr>
          <w:rFonts w:hint="eastAsia" w:hAnsi="宋体"/>
          <w:szCs w:val="21"/>
          <w:lang w:val="en-US" w:eastAsia="zh-CN"/>
        </w:rPr>
        <w:t>19</w:t>
      </w:r>
      <w:r>
        <w:rPr>
          <w:rFonts w:hint="eastAsia" w:hAnsi="宋体"/>
          <w:szCs w:val="21"/>
        </w:rPr>
        <w:t xml:space="preserve"> 日</w:t>
      </w:r>
    </w:p>
    <w:p>
      <w:pPr>
        <w:pStyle w:val="20"/>
        <w:spacing w:line="360" w:lineRule="auto"/>
        <w:rPr>
          <w:rFonts w:hint="eastAsia" w:hAnsi="宋体"/>
          <w:color w:val="auto"/>
          <w:sz w:val="2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2242" w:h="15842"/>
          <w:pgMar w:top="1440" w:right="1442" w:bottom="1440" w:left="1797" w:header="720" w:footer="720" w:gutter="0"/>
          <w:pgNumType w:start="0"/>
          <w:cols w:space="720" w:num="1"/>
          <w:titlePg/>
        </w:sectPr>
      </w:pPr>
    </w:p>
    <w:p>
      <w:pPr>
        <w:adjustRightInd w:val="0"/>
        <w:snapToGrid w:val="0"/>
        <w:spacing w:line="400" w:lineRule="atLeas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附：询价货物一览表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="0" w:after="0" w:line="400" w:lineRule="atLeast"/>
        <w:rPr>
          <w:rFonts w:hint="eastAsia" w:ascii="宋体" w:hAnsi="宋体"/>
          <w:sz w:val="21"/>
          <w:szCs w:val="21"/>
        </w:rPr>
      </w:pPr>
      <w:bookmarkStart w:id="1" w:name="_Toc72935605"/>
      <w:r>
        <w:rPr>
          <w:rFonts w:hint="eastAsia" w:ascii="宋体" w:hAnsi="宋体"/>
          <w:sz w:val="21"/>
          <w:szCs w:val="21"/>
        </w:rPr>
        <w:t>询价货物一览表</w:t>
      </w:r>
      <w:bookmarkEnd w:id="1"/>
    </w:p>
    <w:p>
      <w:pPr>
        <w:pStyle w:val="2"/>
        <w:rPr>
          <w:rFonts w:hint="eastAsia"/>
        </w:rPr>
      </w:pPr>
    </w:p>
    <w:tbl>
      <w:tblPr>
        <w:tblStyle w:val="10"/>
        <w:tblpPr w:leftFromText="180" w:rightFromText="180" w:vertAnchor="text" w:horzAnchor="page" w:tblpX="1537" w:tblpY="131"/>
        <w:tblOverlap w:val="never"/>
        <w:tblW w:w="97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8"/>
        <w:gridCol w:w="2713"/>
        <w:gridCol w:w="900"/>
        <w:gridCol w:w="1498"/>
        <w:gridCol w:w="1459"/>
        <w:gridCol w:w="1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tblHeader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bookmarkStart w:id="2" w:name="_Toc1394"/>
            <w:r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合同包</w:t>
            </w:r>
            <w:bookmarkEnd w:id="2"/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bookmarkStart w:id="3" w:name="_Toc18461"/>
            <w:r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品目号</w:t>
            </w:r>
            <w:bookmarkEnd w:id="3"/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bookmarkStart w:id="4" w:name="_Toc30739"/>
            <w:r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采购标的</w:t>
            </w:r>
            <w:bookmarkEnd w:id="4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bookmarkStart w:id="5" w:name="_Toc32638"/>
            <w:r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是否允</w:t>
            </w:r>
            <w:bookmarkEnd w:id="5"/>
          </w:p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bookmarkStart w:id="6" w:name="_Toc26052"/>
            <w:r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许进口</w:t>
            </w:r>
            <w:bookmarkEnd w:id="6"/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bookmarkStart w:id="7" w:name="_Toc13838"/>
            <w:r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数量</w:t>
            </w:r>
            <w:bookmarkEnd w:id="7"/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bookmarkStart w:id="8" w:name="_Toc4554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合同包预算</w:t>
            </w:r>
            <w:bookmarkEnd w:id="8"/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bookmarkStart w:id="9" w:name="_Toc22265"/>
            <w:r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询价保证金</w:t>
            </w:r>
            <w:bookmarkEnd w:id="9"/>
          </w:p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</w:pPr>
            <w:bookmarkStart w:id="10" w:name="_Toc950"/>
            <w:r>
              <w:rPr>
                <w:rStyle w:val="17"/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（元）</w:t>
            </w:r>
            <w:bookmarkEnd w:id="1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tblHeader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bookmarkStart w:id="11" w:name="_Toc14421"/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  <w:bookmarkEnd w:id="11"/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bookmarkStart w:id="12" w:name="_Toc6881"/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  <w:t>1-1</w:t>
            </w:r>
            <w:bookmarkEnd w:id="12"/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5座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封闭巡逻车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bookmarkStart w:id="13" w:name="_Toc18138"/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  <w:t>否</w:t>
            </w:r>
            <w:bookmarkEnd w:id="13"/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145000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bookmarkStart w:id="14" w:name="_Toc19158"/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  <w:t>4000</w:t>
            </w:r>
            <w:bookmarkEnd w:id="1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tblHeader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  <w:t>1-2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8座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封闭巡逻车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  <w:t>5000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outlineLvl w:val="0"/>
              <w:rPr>
                <w:rStyle w:val="17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pStyle w:val="6"/>
        <w:tabs>
          <w:tab w:val="left" w:pos="8360"/>
        </w:tabs>
        <w:adjustRightInd w:val="0"/>
        <w:snapToGrid w:val="0"/>
        <w:spacing w:line="400" w:lineRule="atLeast"/>
        <w:jc w:val="left"/>
        <w:rPr>
          <w:rFonts w:hint="eastAsia" w:hAnsi="宋体"/>
          <w:szCs w:val="21"/>
        </w:rPr>
      </w:pPr>
    </w:p>
    <w:p>
      <w:pPr>
        <w:pStyle w:val="6"/>
        <w:tabs>
          <w:tab w:val="left" w:pos="8360"/>
        </w:tabs>
        <w:adjustRightInd w:val="0"/>
        <w:snapToGrid w:val="0"/>
        <w:spacing w:line="400" w:lineRule="atLeast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注：</w:t>
      </w:r>
    </w:p>
    <w:p>
      <w:pPr>
        <w:pStyle w:val="6"/>
        <w:tabs>
          <w:tab w:val="left" w:pos="8360"/>
        </w:tabs>
        <w:adjustRightInd w:val="0"/>
        <w:snapToGrid w:val="0"/>
        <w:spacing w:line="360" w:lineRule="auto"/>
        <w:ind w:firstLine="42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1、本次采购为一个合同包，供应商对合同包内所有品目号内容响应时必须完整。评标与授标以合同包为单位。</w:t>
      </w:r>
    </w:p>
    <w:p>
      <w:pPr>
        <w:pStyle w:val="9"/>
        <w:widowControl/>
        <w:spacing w:before="75" w:beforeAutospacing="0" w:after="75" w:afterAutospacing="0" w:line="360" w:lineRule="exact"/>
        <w:rPr>
          <w:rFonts w:hint="eastAsia" w:ascii="宋体" w:hAnsi="宋体" w:cs="宋体"/>
          <w:color w:val="auto"/>
        </w:rPr>
      </w:pPr>
      <w:r>
        <w:rPr>
          <w:rFonts w:hint="eastAsia" w:hAnsi="宋体"/>
          <w:szCs w:val="21"/>
        </w:rPr>
        <w:t>2、成交人不得转包他人，若发现转包，采购人有权终止协议，并没收报价保证金及违约金。</w:t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  <w:highlight w:val="none"/>
        </w:rPr>
        <w:t> </w:t>
      </w:r>
    </w:p>
    <w:sectPr>
      <w:pgSz w:w="11906" w:h="16838"/>
      <w:pgMar w:top="1157" w:right="1236" w:bottom="760" w:left="12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3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pct5" w:color="auto" w:fill="auto"/>
      <w:jc w:val="both"/>
      <w:rPr>
        <w:rFonts w:hint="eastAsia" w:ascii="宋体" w:hAnsi="宋体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TdiYTkzMTYwYWEwNjMxNTgwYjE4MDliNmYyYWMifQ=="/>
  </w:docVars>
  <w:rsids>
    <w:rsidRoot w:val="40F14DF3"/>
    <w:rsid w:val="0B293767"/>
    <w:rsid w:val="0EAB648E"/>
    <w:rsid w:val="1D463748"/>
    <w:rsid w:val="2DD843AA"/>
    <w:rsid w:val="36D3576B"/>
    <w:rsid w:val="40F14DF3"/>
    <w:rsid w:val="43ED5384"/>
    <w:rsid w:val="510F3EB0"/>
    <w:rsid w:val="6D4F6975"/>
    <w:rsid w:val="6E865BCC"/>
    <w:rsid w:val="73D02F49"/>
    <w:rsid w:val="74AF72A0"/>
    <w:rsid w:val="76C0581D"/>
    <w:rsid w:val="7B8775E1"/>
    <w:rsid w:val="7DC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Plain Text"/>
    <w:basedOn w:val="1"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4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Fließtext3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17">
    <w:name w:val="NormalCharacter"/>
    <w:qFormat/>
    <w:uiPriority w:val="0"/>
  </w:style>
  <w:style w:type="paragraph" w:customStyle="1" w:styleId="18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9">
    <w:name w:val="标准"/>
    <w:basedOn w:val="1"/>
    <w:qFormat/>
    <w:uiPriority w:val="0"/>
    <w:pPr>
      <w:spacing w:line="360" w:lineRule="auto"/>
      <w:ind w:firstLine="200" w:firstLineChars="200"/>
    </w:pPr>
    <w:rPr>
      <w:rFonts w:cs="宋体"/>
      <w:szCs w:val="20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1381</Words>
  <Characters>1554</Characters>
  <Lines>0</Lines>
  <Paragraphs>0</Paragraphs>
  <TotalTime>2</TotalTime>
  <ScaleCrop>false</ScaleCrop>
  <LinksUpToDate>false</LinksUpToDate>
  <CharactersWithSpaces>1628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2021-03-08T02:23:00Z</dcterms:created>
  <dc:creator>Administrator</dc:creator>
  <cp:lastModifiedBy>Administrator</cp:lastModifiedBy>
  <dcterms:modified xsi:type="dcterms:W3CDTF">2022-06-19T11:13:58Z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29E2737C682E41BC861762C96AEF8052</vt:lpwstr>
  </property>
</Properties>
</file>